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4CF2B695" w:rsidR="00FA260E" w:rsidRPr="00E472C1" w:rsidRDefault="001D31BA" w:rsidP="00FA260E">
      <w:pPr>
        <w:pStyle w:val="CRCoverPage"/>
        <w:tabs>
          <w:tab w:val="right" w:pos="9639"/>
          <w:tab w:val="right" w:pos="13323"/>
        </w:tabs>
        <w:spacing w:after="0"/>
        <w:rPr>
          <w:rFonts w:eastAsia="宋体" w:cs="Arial"/>
          <w:b/>
          <w:sz w:val="24"/>
          <w:szCs w:val="24"/>
          <w:lang w:val="en-US" w:eastAsia="zh-CN"/>
        </w:rPr>
      </w:pPr>
      <w:bookmarkStart w:id="0" w:name="_Ref399006623"/>
      <w:bookmarkStart w:id="1" w:name="_Toc92513360"/>
      <w:bookmarkStart w:id="2" w:name="_Toc193024528"/>
      <w:r w:rsidRPr="001D31BA">
        <w:rPr>
          <w:rFonts w:cs="Arial"/>
          <w:b/>
          <w:sz w:val="24"/>
          <w:szCs w:val="24"/>
        </w:rPr>
        <w:t>3GPP TSG-RAN WG2 Meeting #103</w:t>
      </w:r>
      <w:r w:rsidR="00FC24A4">
        <w:rPr>
          <w:rFonts w:cs="Arial"/>
          <w:b/>
          <w:sz w:val="24"/>
          <w:szCs w:val="24"/>
        </w:rPr>
        <w:t>bis</w:t>
      </w:r>
      <w:r w:rsidR="00FA260E" w:rsidRPr="007D3E81">
        <w:rPr>
          <w:rFonts w:cs="Arial"/>
          <w:b/>
          <w:sz w:val="24"/>
          <w:szCs w:val="24"/>
        </w:rPr>
        <w:tab/>
      </w:r>
      <w:r w:rsidR="00E472C1" w:rsidRPr="00E472C1">
        <w:rPr>
          <w:rFonts w:eastAsia="宋体" w:cs="Arial"/>
          <w:b/>
          <w:sz w:val="24"/>
          <w:szCs w:val="24"/>
          <w:lang w:eastAsia="zh-CN"/>
        </w:rPr>
        <w:t>R2-1817102</w:t>
      </w:r>
    </w:p>
    <w:p w14:paraId="57FB1393" w14:textId="58A7080B" w:rsidR="00FA260E" w:rsidRPr="00483CF3" w:rsidRDefault="002D10BD" w:rsidP="00FA260E">
      <w:pPr>
        <w:pStyle w:val="CRCoverPage"/>
        <w:tabs>
          <w:tab w:val="right" w:pos="9639"/>
          <w:tab w:val="right" w:pos="13323"/>
        </w:tabs>
        <w:spacing w:after="0"/>
        <w:rPr>
          <w:rFonts w:cs="Arial"/>
          <w:lang w:eastAsia="zh-CN"/>
        </w:rPr>
      </w:pPr>
      <w:r>
        <w:rPr>
          <w:rFonts w:cs="Arial"/>
          <w:b/>
          <w:noProof/>
          <w:sz w:val="24"/>
          <w:szCs w:val="24"/>
        </w:rPr>
        <w:t>Spokane</w:t>
      </w:r>
      <w:r w:rsidR="00FC24A4" w:rsidRPr="00FC24A4">
        <w:rPr>
          <w:rFonts w:cs="Arial"/>
          <w:b/>
          <w:noProof/>
          <w:sz w:val="24"/>
          <w:szCs w:val="24"/>
        </w:rPr>
        <w:t xml:space="preserve">, </w:t>
      </w:r>
      <w:r>
        <w:rPr>
          <w:rFonts w:cs="Arial"/>
          <w:b/>
          <w:noProof/>
          <w:sz w:val="24"/>
          <w:szCs w:val="24"/>
        </w:rPr>
        <w:t>US</w:t>
      </w:r>
      <w:r w:rsidR="00FC24A4" w:rsidRPr="00FC24A4">
        <w:rPr>
          <w:rFonts w:cs="Arial"/>
          <w:b/>
          <w:noProof/>
          <w:sz w:val="24"/>
          <w:szCs w:val="24"/>
        </w:rPr>
        <w:t xml:space="preserve">, </w:t>
      </w:r>
      <w:r>
        <w:rPr>
          <w:rFonts w:cs="Arial"/>
          <w:b/>
          <w:noProof/>
          <w:sz w:val="24"/>
          <w:szCs w:val="24"/>
        </w:rPr>
        <w:t>12</w:t>
      </w:r>
      <w:r w:rsidR="00FC24A4" w:rsidRPr="00FC24A4">
        <w:rPr>
          <w:rFonts w:cs="Arial"/>
          <w:b/>
          <w:noProof/>
          <w:sz w:val="24"/>
          <w:szCs w:val="24"/>
        </w:rPr>
        <w:t xml:space="preserve"> – </w:t>
      </w:r>
      <w:r w:rsidR="005978F4">
        <w:rPr>
          <w:rFonts w:cs="Arial"/>
          <w:b/>
          <w:noProof/>
          <w:sz w:val="24"/>
          <w:szCs w:val="24"/>
        </w:rPr>
        <w:t>16 Nov</w:t>
      </w:r>
      <w:r w:rsidR="00B8340F">
        <w:rPr>
          <w:rFonts w:cs="Arial"/>
          <w:b/>
          <w:noProof/>
          <w:sz w:val="24"/>
          <w:szCs w:val="24"/>
        </w:rPr>
        <w:t>,</w:t>
      </w:r>
      <w:r w:rsidR="00FC24A4" w:rsidRPr="00FC24A4">
        <w:rPr>
          <w:rFonts w:cs="Arial"/>
          <w:b/>
          <w:noProof/>
          <w:sz w:val="24"/>
          <w:szCs w:val="24"/>
        </w:rPr>
        <w:t xml:space="preserve"> 2018</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74C1AC55" w14:textId="77777777" w:rsidR="008B7443" w:rsidRDefault="00227115" w:rsidP="008B7443">
      <w:pPr>
        <w:tabs>
          <w:tab w:val="left" w:pos="1985"/>
        </w:tabs>
        <w:spacing w:afterLines="100" w:after="240"/>
        <w:rPr>
          <w:rFonts w:ascii="Arial" w:hAnsi="Arial" w:cs="Arial"/>
          <w:sz w:val="24"/>
          <w:szCs w:val="24"/>
          <w:lang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8B7443" w:rsidRPr="008B7443">
        <w:rPr>
          <w:rFonts w:ascii="Arial" w:hAnsi="Arial" w:cs="Arial"/>
          <w:sz w:val="24"/>
          <w:szCs w:val="24"/>
          <w:lang w:eastAsia="zh-CN"/>
        </w:rPr>
        <w:t xml:space="preserve">11.8.2 </w:t>
      </w:r>
    </w:p>
    <w:p w14:paraId="489A77B4" w14:textId="44FD4213" w:rsidR="00227115" w:rsidRPr="00F57FD3" w:rsidRDefault="00227115" w:rsidP="008B7443">
      <w:pPr>
        <w:tabs>
          <w:tab w:val="left" w:pos="1985"/>
        </w:tabs>
        <w:spacing w:afterLines="100" w:after="240"/>
        <w:rPr>
          <w:rFonts w:ascii="Arial" w:hAnsi="Arial" w:cs="Arial"/>
          <w:sz w:val="24"/>
          <w:szCs w:val="24"/>
          <w:lang w:val="en-US" w:eastAsia="zh-CN"/>
        </w:rPr>
      </w:pPr>
      <w:bookmarkStart w:id="4" w:name="_GoBack"/>
      <w:bookmarkEnd w:id="4"/>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517C58D8"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4B33E1">
        <w:rPr>
          <w:rFonts w:ascii="Arial" w:hAnsi="Arial" w:cs="Arial"/>
          <w:kern w:val="2"/>
          <w:sz w:val="24"/>
          <w:szCs w:val="24"/>
          <w:lang w:val="en-US" w:eastAsia="zh-CN"/>
        </w:rPr>
        <w:t>Consideration on the commercial use cases</w:t>
      </w:r>
      <w:r w:rsidR="008D01E7">
        <w:rPr>
          <w:rFonts w:ascii="Arial" w:hAnsi="Arial" w:cs="Arial"/>
          <w:kern w:val="2"/>
          <w:sz w:val="24"/>
          <w:szCs w:val="24"/>
          <w:lang w:val="en-US" w:eastAsia="zh-CN"/>
        </w:rPr>
        <w:t xml:space="preserve"> in NR positioning</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4D346FCE" w14:textId="77777777" w:rsidR="00F45EFA" w:rsidRDefault="00693B1B" w:rsidP="00F45EFA">
      <w:pPr>
        <w:rPr>
          <w:bCs/>
          <w:lang w:eastAsia="zh-CN"/>
        </w:rPr>
      </w:pPr>
      <w:r>
        <w:rPr>
          <w:bCs/>
          <w:lang w:eastAsia="zh-CN"/>
        </w:rPr>
        <w:t>In the RAN plenary #80 meeting,</w:t>
      </w:r>
      <w:r w:rsidR="005C200E">
        <w:rPr>
          <w:bCs/>
          <w:lang w:eastAsia="zh-CN"/>
        </w:rPr>
        <w:t xml:space="preserve"> a new RAN</w:t>
      </w:r>
      <w:r w:rsidR="002D10BD">
        <w:rPr>
          <w:bCs/>
          <w:lang w:eastAsia="zh-CN"/>
        </w:rPr>
        <w:t>1</w:t>
      </w:r>
      <w:r w:rsidR="005C200E">
        <w:rPr>
          <w:bCs/>
          <w:lang w:eastAsia="zh-CN"/>
        </w:rPr>
        <w:t xml:space="preserve"> SI on “</w:t>
      </w:r>
      <w:r w:rsidR="002D10BD" w:rsidRPr="002D10BD">
        <w:rPr>
          <w:bCs/>
          <w:lang w:eastAsia="zh-CN"/>
        </w:rPr>
        <w:t>Study on NR positioning support</w:t>
      </w:r>
      <w:r w:rsidR="005C200E">
        <w:rPr>
          <w:bCs/>
          <w:lang w:eastAsia="zh-CN"/>
        </w:rPr>
        <w:t>” was approved [</w:t>
      </w:r>
      <w:r w:rsidR="00E16156">
        <w:rPr>
          <w:bCs/>
          <w:lang w:eastAsia="zh-CN"/>
        </w:rPr>
        <w:t>1</w:t>
      </w:r>
      <w:r w:rsidR="005C200E">
        <w:rPr>
          <w:bCs/>
          <w:lang w:eastAsia="zh-CN"/>
        </w:rPr>
        <w:t>]</w:t>
      </w:r>
      <w:r>
        <w:rPr>
          <w:bCs/>
          <w:lang w:eastAsia="zh-CN"/>
        </w:rPr>
        <w:t>.</w:t>
      </w:r>
      <w:r w:rsidR="002D10BD">
        <w:rPr>
          <w:bCs/>
          <w:lang w:eastAsia="zh-CN"/>
        </w:rPr>
        <w:t xml:space="preserve"> </w:t>
      </w:r>
      <w:bookmarkStart w:id="7" w:name="OLE_LINK9"/>
      <w:r w:rsidR="00F45EFA">
        <w:rPr>
          <w:bCs/>
          <w:lang w:eastAsia="zh-CN"/>
        </w:rPr>
        <w:t>The objectives of the SI for RAN2 and RAN3 are reported as follows:</w:t>
      </w:r>
    </w:p>
    <w:tbl>
      <w:tblPr>
        <w:tblStyle w:val="a9"/>
        <w:tblW w:w="0" w:type="auto"/>
        <w:tblLook w:val="04A0" w:firstRow="1" w:lastRow="0" w:firstColumn="1" w:lastColumn="0" w:noHBand="0" w:noVBand="1"/>
      </w:tblPr>
      <w:tblGrid>
        <w:gridCol w:w="9631"/>
      </w:tblGrid>
      <w:tr w:rsidR="00DF2A73" w14:paraId="6B8F6A3E" w14:textId="77777777" w:rsidTr="00DF2A73">
        <w:tc>
          <w:tcPr>
            <w:tcW w:w="9631" w:type="dxa"/>
          </w:tcPr>
          <w:p w14:paraId="77EBACA7" w14:textId="77777777" w:rsidR="00DF2A73" w:rsidRPr="00F45EFA" w:rsidRDefault="00DF2A73" w:rsidP="00DF2A73">
            <w:pPr>
              <w:numPr>
                <w:ilvl w:val="0"/>
                <w:numId w:val="23"/>
              </w:numPr>
              <w:autoSpaceDN w:val="0"/>
              <w:spacing w:before="120" w:after="0" w:line="280" w:lineRule="atLeast"/>
              <w:contextualSpacing/>
              <w:jc w:val="both"/>
              <w:rPr>
                <w:lang w:val="en-US" w:eastAsia="ko-KR"/>
              </w:rPr>
            </w:pPr>
            <w:r w:rsidRPr="00F45EFA">
              <w:t>Study of positioning architecture for location services, functional interfaces, protocol, and procedures for supporting NR dependent positioning technologies (if needed; otherwise, need to be confirmed) [RAN2, RAN3]</w:t>
            </w:r>
          </w:p>
          <w:p w14:paraId="274B84AC" w14:textId="77777777" w:rsidR="00DF2A73" w:rsidRPr="00F45EFA" w:rsidRDefault="00DF2A73" w:rsidP="00DF2A73">
            <w:pPr>
              <w:numPr>
                <w:ilvl w:val="1"/>
                <w:numId w:val="23"/>
              </w:numPr>
              <w:autoSpaceDN w:val="0"/>
              <w:spacing w:before="120" w:after="0" w:line="280" w:lineRule="atLeast"/>
              <w:contextualSpacing/>
              <w:jc w:val="both"/>
              <w:rPr>
                <w:lang w:val="en-US" w:eastAsia="ko-KR"/>
              </w:rPr>
            </w:pPr>
            <w:r w:rsidRPr="00F45EFA">
              <w:rPr>
                <w:lang w:val="en-US" w:eastAsia="ko-KR"/>
              </w:rPr>
              <w:t>Rel-15 NR positioning architecture/protocol is a starting point of the discussion while the Release 16 LCS architecture enhancement study in TSG SA side is taken into account.</w:t>
            </w:r>
          </w:p>
          <w:p w14:paraId="172D73A8" w14:textId="77777777" w:rsidR="00DF2A73" w:rsidRPr="00F45EFA" w:rsidRDefault="00DF2A73" w:rsidP="00DF2A73">
            <w:pPr>
              <w:numPr>
                <w:ilvl w:val="1"/>
                <w:numId w:val="23"/>
              </w:numPr>
              <w:autoSpaceDN w:val="0"/>
              <w:spacing w:before="120" w:after="0" w:line="280" w:lineRule="atLeast"/>
              <w:contextualSpacing/>
              <w:jc w:val="both"/>
              <w:rPr>
                <w:highlight w:val="green"/>
                <w:lang w:val="en-US" w:eastAsia="ko-KR"/>
              </w:rPr>
            </w:pPr>
            <w:r w:rsidRPr="00F45EFA">
              <w:rPr>
                <w:highlight w:val="green"/>
                <w:lang w:val="en-US" w:eastAsia="ko-KR"/>
              </w:rPr>
              <w:t>Common architecture with IoT and hybrid positioning.</w:t>
            </w:r>
          </w:p>
          <w:p w14:paraId="45BABE36" w14:textId="77777777" w:rsidR="00DF2A73" w:rsidRPr="00F45EFA" w:rsidRDefault="00DF2A73" w:rsidP="00DF2A73">
            <w:pPr>
              <w:numPr>
                <w:ilvl w:val="1"/>
                <w:numId w:val="23"/>
              </w:numPr>
              <w:autoSpaceDN w:val="0"/>
              <w:spacing w:before="120" w:after="0" w:line="280" w:lineRule="atLeast"/>
              <w:contextualSpacing/>
              <w:jc w:val="both"/>
              <w:rPr>
                <w:lang w:val="en-US" w:eastAsia="ko-KR"/>
              </w:rPr>
            </w:pPr>
            <w:r w:rsidRPr="00F45EFA">
              <w:rPr>
                <w:lang w:val="en-US" w:eastAsia="ko-KR"/>
              </w:rPr>
              <w:t>The positioning architectures should support standalone NR for both voice and data including IoT service.</w:t>
            </w:r>
          </w:p>
          <w:p w14:paraId="281FF0B7" w14:textId="77777777" w:rsidR="00DF2A73" w:rsidRPr="00F45EFA" w:rsidRDefault="00DF2A73" w:rsidP="00DF2A73">
            <w:pPr>
              <w:numPr>
                <w:ilvl w:val="1"/>
                <w:numId w:val="23"/>
              </w:numPr>
              <w:autoSpaceDN w:val="0"/>
              <w:spacing w:before="120" w:after="0" w:line="280" w:lineRule="atLeast"/>
              <w:contextualSpacing/>
              <w:jc w:val="both"/>
              <w:rPr>
                <w:highlight w:val="green"/>
                <w:lang w:val="en-US" w:eastAsia="ko-KR"/>
              </w:rPr>
            </w:pPr>
            <w:r w:rsidRPr="00F45EFA">
              <w:rPr>
                <w:highlight w:val="green"/>
                <w:lang w:val="en-US" w:eastAsia="ko-KR"/>
              </w:rPr>
              <w:t>IoT use cases, including potential LPP evolution, and efficient/low-complexity signaling are considered while striving for a common architecture.</w:t>
            </w:r>
          </w:p>
          <w:p w14:paraId="7298D0CE" w14:textId="1C8AA14C" w:rsidR="00DF2A73" w:rsidRPr="00DF2A73" w:rsidRDefault="00DF2A73" w:rsidP="00227115">
            <w:pPr>
              <w:numPr>
                <w:ilvl w:val="1"/>
                <w:numId w:val="23"/>
              </w:numPr>
              <w:autoSpaceDN w:val="0"/>
              <w:spacing w:before="120" w:after="0" w:line="280" w:lineRule="atLeast"/>
              <w:contextualSpacing/>
              <w:jc w:val="both"/>
              <w:rPr>
                <w:lang w:val="en-US" w:eastAsia="ko-KR"/>
              </w:rPr>
            </w:pPr>
            <w:r w:rsidRPr="00F45EFA">
              <w:rPr>
                <w:lang w:val="en-US" w:eastAsia="ko-KR"/>
              </w:rPr>
              <w:t>End-to-end latency is considered to developing positioning architecture.</w:t>
            </w:r>
          </w:p>
        </w:tc>
      </w:tr>
    </w:tbl>
    <w:p w14:paraId="37761D78" w14:textId="5D862625" w:rsidR="00E340BF" w:rsidRPr="003F36D3" w:rsidRDefault="00E340BF" w:rsidP="00227115">
      <w:r>
        <w:t>Furthermore, i</w:t>
      </w:r>
      <w:r w:rsidR="005C200E">
        <w:t>n</w:t>
      </w:r>
      <w:r>
        <w:t xml:space="preserve"> the last RAN1 meeting, the fo</w:t>
      </w:r>
      <w:r w:rsidR="003F36D3">
        <w:t xml:space="preserve">llowing agreement has been made, </w:t>
      </w:r>
      <w:r w:rsidR="003F36D3" w:rsidRPr="003F36D3">
        <w:t>RAN1 made the following agreement at RAN1 #94bis:</w:t>
      </w:r>
    </w:p>
    <w:tbl>
      <w:tblPr>
        <w:tblStyle w:val="a9"/>
        <w:tblW w:w="0" w:type="auto"/>
        <w:tblLook w:val="04A0" w:firstRow="1" w:lastRow="0" w:firstColumn="1" w:lastColumn="0" w:noHBand="0" w:noVBand="1"/>
      </w:tblPr>
      <w:tblGrid>
        <w:gridCol w:w="9631"/>
      </w:tblGrid>
      <w:tr w:rsidR="00305F27" w14:paraId="69FAB76A" w14:textId="77777777" w:rsidTr="00305F27">
        <w:tc>
          <w:tcPr>
            <w:tcW w:w="9631" w:type="dxa"/>
          </w:tcPr>
          <w:p w14:paraId="14E4EF47" w14:textId="77777777" w:rsidR="00305F27" w:rsidRDefault="00305F27" w:rsidP="00305F27">
            <w:pPr>
              <w:rPr>
                <w:rFonts w:cstheme="minorHAnsi"/>
                <w:sz w:val="22"/>
                <w:lang w:eastAsia="x-none"/>
              </w:rPr>
            </w:pPr>
            <w:r>
              <w:rPr>
                <w:sz w:val="22"/>
                <w:highlight w:val="green"/>
                <w:lang w:eastAsia="x-none"/>
              </w:rPr>
              <w:t>Agreement</w:t>
            </w:r>
            <w:r>
              <w:rPr>
                <w:rFonts w:cstheme="minorHAnsi"/>
                <w:sz w:val="22"/>
                <w:highlight w:val="green"/>
                <w:lang w:eastAsia="x-none"/>
              </w:rPr>
              <w:t>:</w:t>
            </w:r>
          </w:p>
          <w:p w14:paraId="2DBC2B05" w14:textId="77777777" w:rsidR="00305F27" w:rsidRDefault="00305F27" w:rsidP="00305F27">
            <w:pPr>
              <w:pStyle w:val="3GPPAgreements"/>
            </w:pPr>
            <w:r>
              <w:t>Regulatory requirements are considered as a minimum performance targets for NR Positioning studies</w:t>
            </w:r>
          </w:p>
          <w:p w14:paraId="3383FFD7" w14:textId="3438352B" w:rsidR="00305F27" w:rsidRPr="003F36D3" w:rsidRDefault="00305F27" w:rsidP="00305F27">
            <w:pPr>
              <w:pStyle w:val="3GPPAgreements"/>
            </w:pPr>
            <w:r>
              <w:t>Additional requirements based on commercial use cases can be used as input performance targets that are subject to further analysis in terms of performance / complexity tradeoffs in different evaluation scenarios</w:t>
            </w:r>
          </w:p>
        </w:tc>
      </w:tr>
    </w:tbl>
    <w:p w14:paraId="54CC9FA7" w14:textId="3A7F70AC" w:rsidR="00D035AF" w:rsidRPr="005C200E" w:rsidRDefault="00E340BF" w:rsidP="00227115">
      <w:pPr>
        <w:rPr>
          <w:bCs/>
          <w:lang w:eastAsia="zh-CN"/>
        </w:rPr>
      </w:pPr>
      <w:r>
        <w:t>In</w:t>
      </w:r>
      <w:r w:rsidR="005C200E">
        <w:t xml:space="preserve"> this contribution, we </w:t>
      </w:r>
      <w:bookmarkEnd w:id="7"/>
      <w:r w:rsidR="00285EBB">
        <w:t xml:space="preserve">provide our consideration on </w:t>
      </w:r>
      <w:r w:rsidR="00676805">
        <w:t>commercial use cases</w:t>
      </w:r>
      <w:r w:rsidR="008D01E7">
        <w:t xml:space="preserve"> in NR positioning</w:t>
      </w:r>
      <w:r w:rsidR="00285EBB">
        <w:t>.</w:t>
      </w:r>
      <w:r w:rsidR="00693B1B">
        <w:t xml:space="preserve"> </w:t>
      </w:r>
    </w:p>
    <w:p w14:paraId="4915A11C" w14:textId="77777777" w:rsidR="00227115" w:rsidRDefault="008C0D0D" w:rsidP="008C0D0D">
      <w:pPr>
        <w:pStyle w:val="1"/>
        <w:rPr>
          <w:lang w:eastAsia="zh-CN"/>
        </w:rPr>
      </w:pPr>
      <w:r>
        <w:rPr>
          <w:lang w:eastAsia="zh-CN"/>
        </w:rPr>
        <w:t>Discussion</w:t>
      </w:r>
    </w:p>
    <w:p w14:paraId="1AC9FC8C" w14:textId="4CA453D9" w:rsidR="00FD0151" w:rsidRDefault="00FD0151" w:rsidP="00FD0151">
      <w:pPr>
        <w:rPr>
          <w:lang w:eastAsia="zh-CN"/>
        </w:rPr>
      </w:pPr>
      <w:r>
        <w:rPr>
          <w:bCs/>
        </w:rPr>
        <w:t xml:space="preserve">There are a number of specifications on the use cases and requirements of NR positioning, including the use cases of “higher accuracy” family given in TR 22.862, detailed use cases with KPI requirements in TR </w:t>
      </w:r>
      <w:r w:rsidRPr="00B11318">
        <w:rPr>
          <w:bCs/>
        </w:rPr>
        <w:t>22.872, and an informative categories of positioning use cases in TS 22.261. Specific cases for V2X are de</w:t>
      </w:r>
      <w:r>
        <w:rPr>
          <w:bCs/>
        </w:rPr>
        <w:t>s</w:t>
      </w:r>
      <w:r w:rsidRPr="00B11318">
        <w:rPr>
          <w:bCs/>
        </w:rPr>
        <w:t>cribed in TS 22.186.</w:t>
      </w:r>
      <w:r>
        <w:rPr>
          <w:bCs/>
        </w:rPr>
        <w:t xml:space="preserve"> </w:t>
      </w:r>
      <w:r>
        <w:rPr>
          <w:lang w:eastAsia="zh-CN"/>
        </w:rPr>
        <w:t>Recently, SA1 WG has completed its HYPOS study (SP-170589) on positioning use cases in indoor and outdoor environments. The relevant documents are listed in Table 1.</w:t>
      </w:r>
    </w:p>
    <w:p w14:paraId="51EA5994" w14:textId="77777777" w:rsidR="00FD0151" w:rsidRDefault="00FD0151" w:rsidP="00FD0151">
      <w:pPr>
        <w:pStyle w:val="ab"/>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Relevant documents on positioning requirements</w:t>
      </w:r>
    </w:p>
    <w:tbl>
      <w:tblPr>
        <w:tblStyle w:val="a9"/>
        <w:tblW w:w="0" w:type="auto"/>
        <w:tblLook w:val="04A0" w:firstRow="1" w:lastRow="0" w:firstColumn="1" w:lastColumn="0" w:noHBand="0" w:noVBand="1"/>
      </w:tblPr>
      <w:tblGrid>
        <w:gridCol w:w="1432"/>
        <w:gridCol w:w="6643"/>
      </w:tblGrid>
      <w:tr w:rsidR="0064755C" w14:paraId="698433D5" w14:textId="09E3941A" w:rsidTr="00DD4F01">
        <w:tc>
          <w:tcPr>
            <w:tcW w:w="1432" w:type="dxa"/>
            <w:shd w:val="clear" w:color="auto" w:fill="D9D9D9" w:themeFill="background1" w:themeFillShade="D9"/>
          </w:tcPr>
          <w:p w14:paraId="267B70FD" w14:textId="77777777" w:rsidR="0064755C" w:rsidRPr="00CE1C1C" w:rsidRDefault="0064755C" w:rsidP="00DD4F01">
            <w:pPr>
              <w:spacing w:after="0"/>
              <w:jc w:val="center"/>
              <w:rPr>
                <w:b/>
                <w:lang w:eastAsia="zh-CN"/>
              </w:rPr>
            </w:pPr>
            <w:r w:rsidRPr="00CE1C1C">
              <w:rPr>
                <w:b/>
                <w:lang w:eastAsia="zh-CN"/>
              </w:rPr>
              <w:t>Document</w:t>
            </w:r>
          </w:p>
        </w:tc>
        <w:tc>
          <w:tcPr>
            <w:tcW w:w="6643" w:type="dxa"/>
            <w:shd w:val="clear" w:color="auto" w:fill="D9D9D9" w:themeFill="background1" w:themeFillShade="D9"/>
          </w:tcPr>
          <w:p w14:paraId="68AA54CD" w14:textId="77777777" w:rsidR="0064755C" w:rsidRPr="00CE1C1C" w:rsidRDefault="0064755C" w:rsidP="00DD4F01">
            <w:pPr>
              <w:spacing w:after="0"/>
              <w:jc w:val="center"/>
              <w:rPr>
                <w:b/>
                <w:lang w:eastAsia="zh-CN"/>
              </w:rPr>
            </w:pPr>
            <w:r w:rsidRPr="00CE1C1C">
              <w:rPr>
                <w:b/>
                <w:lang w:eastAsia="zh-CN"/>
              </w:rPr>
              <w:t>Name</w:t>
            </w:r>
          </w:p>
        </w:tc>
      </w:tr>
      <w:tr w:rsidR="0064755C" w14:paraId="4E939B0D" w14:textId="189E33B9" w:rsidTr="00DD4F01">
        <w:tc>
          <w:tcPr>
            <w:tcW w:w="1432" w:type="dxa"/>
          </w:tcPr>
          <w:p w14:paraId="0FC559C9" w14:textId="77777777" w:rsidR="0064755C" w:rsidRDefault="0064755C" w:rsidP="007C3373">
            <w:pPr>
              <w:rPr>
                <w:lang w:eastAsia="zh-CN"/>
              </w:rPr>
            </w:pPr>
            <w:r>
              <w:rPr>
                <w:lang w:eastAsia="zh-CN"/>
              </w:rPr>
              <w:t>TS22.261</w:t>
            </w:r>
          </w:p>
        </w:tc>
        <w:tc>
          <w:tcPr>
            <w:tcW w:w="6643" w:type="dxa"/>
          </w:tcPr>
          <w:p w14:paraId="21121A9C" w14:textId="77777777" w:rsidR="0064755C" w:rsidRDefault="0064755C" w:rsidP="007C3373">
            <w:pPr>
              <w:rPr>
                <w:lang w:eastAsia="zh-CN"/>
              </w:rPr>
            </w:pPr>
            <w:r w:rsidRPr="00CE1C1C">
              <w:rPr>
                <w:lang w:eastAsia="zh-CN"/>
              </w:rPr>
              <w:t>Service requirements for next generation new services and markets</w:t>
            </w:r>
          </w:p>
        </w:tc>
      </w:tr>
      <w:tr w:rsidR="0064755C" w14:paraId="1159F2EB" w14:textId="26CF45D5" w:rsidTr="00DD4F01">
        <w:tc>
          <w:tcPr>
            <w:tcW w:w="1432" w:type="dxa"/>
          </w:tcPr>
          <w:p w14:paraId="0FB02D66" w14:textId="77777777" w:rsidR="0064755C" w:rsidRDefault="0064755C" w:rsidP="007C3373">
            <w:pPr>
              <w:rPr>
                <w:lang w:eastAsia="zh-CN"/>
              </w:rPr>
            </w:pPr>
            <w:r>
              <w:rPr>
                <w:lang w:eastAsia="zh-CN"/>
              </w:rPr>
              <w:t>TR22.862</w:t>
            </w:r>
          </w:p>
        </w:tc>
        <w:tc>
          <w:tcPr>
            <w:tcW w:w="6643" w:type="dxa"/>
          </w:tcPr>
          <w:p w14:paraId="74CA5634" w14:textId="77777777" w:rsidR="0064755C" w:rsidRDefault="0064755C" w:rsidP="007C3373">
            <w:pPr>
              <w:rPr>
                <w:lang w:eastAsia="zh-CN"/>
              </w:rPr>
            </w:pPr>
            <w:r w:rsidRPr="009526FE">
              <w:rPr>
                <w:bCs/>
              </w:rPr>
              <w:t>Feasibility Study on New Services and Markets Technology Enablers for Critical Communications; Stage 1</w:t>
            </w:r>
          </w:p>
        </w:tc>
      </w:tr>
      <w:tr w:rsidR="0064755C" w14:paraId="40DBD6F1" w14:textId="1767C97D" w:rsidTr="00DD4F01">
        <w:tc>
          <w:tcPr>
            <w:tcW w:w="1432" w:type="dxa"/>
          </w:tcPr>
          <w:p w14:paraId="42C8D5BF" w14:textId="77777777" w:rsidR="0064755C" w:rsidRDefault="0064755C" w:rsidP="007C3373">
            <w:pPr>
              <w:rPr>
                <w:lang w:eastAsia="zh-CN"/>
              </w:rPr>
            </w:pPr>
            <w:r>
              <w:rPr>
                <w:lang w:eastAsia="zh-CN"/>
              </w:rPr>
              <w:lastRenderedPageBreak/>
              <w:t>TR22.872</w:t>
            </w:r>
          </w:p>
        </w:tc>
        <w:tc>
          <w:tcPr>
            <w:tcW w:w="6643" w:type="dxa"/>
          </w:tcPr>
          <w:p w14:paraId="2DBCD8F4" w14:textId="77777777" w:rsidR="0064755C" w:rsidRDefault="0064755C" w:rsidP="007C3373">
            <w:pPr>
              <w:rPr>
                <w:lang w:eastAsia="zh-CN"/>
              </w:rPr>
            </w:pPr>
            <w:r w:rsidRPr="003E545F">
              <w:rPr>
                <w:kern w:val="2"/>
                <w:lang w:eastAsia="zh-CN"/>
              </w:rPr>
              <w:t>Study on positioning use cases;</w:t>
            </w:r>
            <w:r>
              <w:rPr>
                <w:kern w:val="2"/>
                <w:lang w:eastAsia="zh-CN"/>
              </w:rPr>
              <w:t xml:space="preserve"> S</w:t>
            </w:r>
            <w:r w:rsidRPr="003E545F">
              <w:rPr>
                <w:kern w:val="2"/>
                <w:lang w:eastAsia="zh-CN"/>
              </w:rPr>
              <w:t>tage 1</w:t>
            </w:r>
          </w:p>
        </w:tc>
      </w:tr>
      <w:tr w:rsidR="0064755C" w14:paraId="56E180C6" w14:textId="15C7290A" w:rsidTr="00DD4F01">
        <w:tc>
          <w:tcPr>
            <w:tcW w:w="1432" w:type="dxa"/>
          </w:tcPr>
          <w:p w14:paraId="4CD1AE45" w14:textId="77777777" w:rsidR="0064755C" w:rsidRDefault="0064755C" w:rsidP="007C3373">
            <w:pPr>
              <w:rPr>
                <w:lang w:eastAsia="zh-CN"/>
              </w:rPr>
            </w:pPr>
            <w:r>
              <w:rPr>
                <w:lang w:eastAsia="zh-CN"/>
              </w:rPr>
              <w:t>FCC15-9</w:t>
            </w:r>
          </w:p>
        </w:tc>
        <w:tc>
          <w:tcPr>
            <w:tcW w:w="6643" w:type="dxa"/>
          </w:tcPr>
          <w:p w14:paraId="23177B4A" w14:textId="77777777" w:rsidR="0064755C" w:rsidRDefault="0064755C" w:rsidP="007C3373">
            <w:pPr>
              <w:rPr>
                <w:lang w:eastAsia="zh-CN"/>
              </w:rPr>
            </w:pPr>
            <w:r w:rsidRPr="003F6BC9">
              <w:t>In the Matter of Wireless E911 Location Accuracy Requirements</w:t>
            </w:r>
          </w:p>
        </w:tc>
      </w:tr>
      <w:tr w:rsidR="0064755C" w14:paraId="4CBB7E78" w14:textId="43B20461" w:rsidTr="00DD4F01">
        <w:tc>
          <w:tcPr>
            <w:tcW w:w="1432" w:type="dxa"/>
          </w:tcPr>
          <w:p w14:paraId="2416234B" w14:textId="77777777" w:rsidR="0064755C" w:rsidRDefault="0064755C" w:rsidP="007C3373">
            <w:pPr>
              <w:rPr>
                <w:lang w:eastAsia="zh-CN"/>
              </w:rPr>
            </w:pPr>
            <w:r>
              <w:rPr>
                <w:lang w:eastAsia="zh-CN"/>
              </w:rPr>
              <w:t>TR22.186</w:t>
            </w:r>
          </w:p>
        </w:tc>
        <w:tc>
          <w:tcPr>
            <w:tcW w:w="6643" w:type="dxa"/>
          </w:tcPr>
          <w:p w14:paraId="0054B54A" w14:textId="77777777" w:rsidR="0064755C" w:rsidRPr="003F6BC9" w:rsidRDefault="0064755C" w:rsidP="007C3373">
            <w:r w:rsidRPr="00CE1C1C">
              <w:rPr>
                <w:lang w:eastAsia="zh-CN"/>
              </w:rPr>
              <w:t>Service requirements for enhanced V2X scenarios</w:t>
            </w:r>
          </w:p>
        </w:tc>
      </w:tr>
    </w:tbl>
    <w:p w14:paraId="4FEFB057" w14:textId="77777777" w:rsidR="00FD0151" w:rsidRDefault="00FD0151" w:rsidP="00FD0151">
      <w:pPr>
        <w:rPr>
          <w:lang w:eastAsia="zh-CN"/>
        </w:rPr>
      </w:pPr>
    </w:p>
    <w:p w14:paraId="394CCD4D" w14:textId="77777777" w:rsidR="00FD0151" w:rsidRDefault="00FD0151" w:rsidP="00FD0151">
      <w:pPr>
        <w:rPr>
          <w:lang w:eastAsia="zh-CN"/>
        </w:rPr>
      </w:pPr>
      <w:r>
        <w:rPr>
          <w:lang w:eastAsia="zh-CN"/>
        </w:rPr>
        <w:t>In summary, the use cases studied in the above specification consist of three categories, among which the use cases of eMBB and vertical industries are commercial use cases, and regulatory cases are the basic function requirements.</w:t>
      </w:r>
    </w:p>
    <w:p w14:paraId="526CD8B1" w14:textId="77777777" w:rsidR="00FD0151" w:rsidRDefault="00FD0151" w:rsidP="00FD0151">
      <w:pPr>
        <w:pStyle w:val="a7"/>
        <w:numPr>
          <w:ilvl w:val="0"/>
          <w:numId w:val="26"/>
        </w:numPr>
        <w:overflowPunct/>
        <w:snapToGrid w:val="0"/>
        <w:spacing w:after="120"/>
        <w:ind w:firstLineChars="0"/>
        <w:jc w:val="both"/>
        <w:textAlignment w:val="auto"/>
        <w:rPr>
          <w:lang w:eastAsia="x-none"/>
        </w:rPr>
      </w:pPr>
      <w:r>
        <w:rPr>
          <w:lang w:eastAsia="zh-CN"/>
        </w:rPr>
        <w:t xml:space="preserve">Regulatory </w:t>
      </w:r>
      <w:r w:rsidRPr="00D40920">
        <w:t>emergency services</w:t>
      </w:r>
      <w:r>
        <w:t>: An emergency service enables a user to contact a Public Safety Answering Point (PSAP) and requires the emergency services user/UE to have accurate positioning such that they may be located and offered aid by first responders. The level of positioning accuracy (and other KPIs) required is dependent upon local and regional regulatory requirements in TR 22.872.</w:t>
      </w:r>
    </w:p>
    <w:p w14:paraId="34C1D059" w14:textId="77777777" w:rsidR="00FD0151" w:rsidRDefault="00FD0151" w:rsidP="00FD0151">
      <w:pPr>
        <w:pStyle w:val="a7"/>
        <w:numPr>
          <w:ilvl w:val="0"/>
          <w:numId w:val="26"/>
        </w:numPr>
        <w:overflowPunct/>
        <w:snapToGrid w:val="0"/>
        <w:spacing w:after="120"/>
        <w:ind w:firstLineChars="0"/>
        <w:jc w:val="both"/>
        <w:textAlignment w:val="auto"/>
        <w:rPr>
          <w:lang w:eastAsia="x-none"/>
        </w:rPr>
      </w:pPr>
      <w:r>
        <w:rPr>
          <w:lang w:eastAsia="zh-CN"/>
        </w:rPr>
        <w:t>eMBB use cases: The cases include outdoor and indoor scenarios. H</w:t>
      </w:r>
      <w:r w:rsidRPr="005C31D9">
        <w:rPr>
          <w:lang w:eastAsia="x-none"/>
        </w:rPr>
        <w:t xml:space="preserve">igh accuracy positioning service in </w:t>
      </w:r>
      <w:r>
        <w:rPr>
          <w:lang w:eastAsia="x-none"/>
        </w:rPr>
        <w:t xml:space="preserve">a </w:t>
      </w:r>
      <w:r w:rsidRPr="005C31D9">
        <w:rPr>
          <w:lang w:eastAsia="x-none"/>
        </w:rPr>
        <w:t>5G network should be supported in areas of traffic roads, tunnel</w:t>
      </w:r>
      <w:r>
        <w:rPr>
          <w:lang w:eastAsia="x-none"/>
        </w:rPr>
        <w:t>s</w:t>
      </w:r>
      <w:r w:rsidRPr="005C31D9">
        <w:rPr>
          <w:lang w:eastAsia="x-none"/>
        </w:rPr>
        <w:t>, underground car-park</w:t>
      </w:r>
      <w:r>
        <w:rPr>
          <w:lang w:eastAsia="x-none"/>
        </w:rPr>
        <w:t>s,</w:t>
      </w:r>
      <w:r w:rsidRPr="005C31D9">
        <w:rPr>
          <w:lang w:eastAsia="x-none"/>
        </w:rPr>
        <w:t xml:space="preserve"> or indoor environment</w:t>
      </w:r>
      <w:r>
        <w:rPr>
          <w:lang w:eastAsia="x-none"/>
        </w:rPr>
        <w:t xml:space="preserve">s, which are not covered by satellite signals. </w:t>
      </w:r>
    </w:p>
    <w:p w14:paraId="0A62BC34" w14:textId="77777777" w:rsidR="00FD0151" w:rsidRDefault="00FD0151" w:rsidP="00FD0151">
      <w:pPr>
        <w:pStyle w:val="a7"/>
        <w:numPr>
          <w:ilvl w:val="0"/>
          <w:numId w:val="26"/>
        </w:numPr>
        <w:overflowPunct/>
        <w:snapToGrid w:val="0"/>
        <w:spacing w:after="120"/>
        <w:ind w:firstLineChars="0"/>
        <w:jc w:val="both"/>
        <w:textAlignment w:val="auto"/>
        <w:rPr>
          <w:lang w:eastAsia="x-none"/>
        </w:rPr>
      </w:pPr>
      <w:r>
        <w:rPr>
          <w:lang w:eastAsia="x-none"/>
        </w:rPr>
        <w:t xml:space="preserve">Vertical industry use cases: A variety of use cases from vertical industries such as industry factory, </w:t>
      </w:r>
      <w:r>
        <w:t xml:space="preserve">augmented reality, shared bikes, automotive driving, and </w:t>
      </w:r>
      <w:r>
        <w:rPr>
          <w:lang w:eastAsia="x-none"/>
        </w:rPr>
        <w:t>u</w:t>
      </w:r>
      <w:r w:rsidRPr="005C31D9">
        <w:rPr>
          <w:lang w:eastAsia="x-none"/>
        </w:rPr>
        <w:t xml:space="preserve">nmanned </w:t>
      </w:r>
      <w:r>
        <w:rPr>
          <w:lang w:eastAsia="x-none"/>
        </w:rPr>
        <w:t>a</w:t>
      </w:r>
      <w:r w:rsidRPr="005C31D9">
        <w:rPr>
          <w:lang w:eastAsia="x-none"/>
        </w:rPr>
        <w:t xml:space="preserve">erial </w:t>
      </w:r>
      <w:r>
        <w:rPr>
          <w:lang w:eastAsia="x-none"/>
        </w:rPr>
        <w:t>v</w:t>
      </w:r>
      <w:r w:rsidRPr="005C31D9">
        <w:rPr>
          <w:lang w:eastAsia="x-none"/>
        </w:rPr>
        <w:t>ehicle</w:t>
      </w:r>
      <w:r>
        <w:rPr>
          <w:lang w:eastAsia="x-none"/>
        </w:rPr>
        <w:t xml:space="preserve">. The vertical industry category could be further classified into IoT services and URLLC services. </w:t>
      </w:r>
    </w:p>
    <w:p w14:paraId="08DAD084" w14:textId="77777777" w:rsidR="00FD0151" w:rsidRDefault="00FD0151" w:rsidP="00FD0151">
      <w:pPr>
        <w:pStyle w:val="a7"/>
        <w:numPr>
          <w:ilvl w:val="1"/>
          <w:numId w:val="26"/>
        </w:numPr>
        <w:overflowPunct/>
        <w:snapToGrid w:val="0"/>
        <w:spacing w:after="120"/>
        <w:ind w:firstLineChars="0"/>
        <w:jc w:val="both"/>
        <w:textAlignment w:val="auto"/>
        <w:rPr>
          <w:lang w:eastAsia="x-none"/>
        </w:rPr>
      </w:pPr>
      <w:r>
        <w:rPr>
          <w:lang w:eastAsia="x-none"/>
        </w:rPr>
        <w:t>URLLC services are featured with low-latency and ultra-reliability such as UAV and automotive driving.</w:t>
      </w:r>
    </w:p>
    <w:p w14:paraId="4D7DFF37" w14:textId="77777777" w:rsidR="00FD0151" w:rsidRDefault="00FD0151" w:rsidP="00FD0151">
      <w:pPr>
        <w:pStyle w:val="a7"/>
        <w:numPr>
          <w:ilvl w:val="1"/>
          <w:numId w:val="26"/>
        </w:numPr>
        <w:overflowPunct/>
        <w:snapToGrid w:val="0"/>
        <w:spacing w:after="120"/>
        <w:ind w:firstLineChars="0"/>
        <w:jc w:val="both"/>
        <w:textAlignment w:val="auto"/>
        <w:rPr>
          <w:lang w:eastAsia="x-none"/>
        </w:rPr>
      </w:pPr>
      <w:r>
        <w:rPr>
          <w:lang w:eastAsia="x-none"/>
        </w:rPr>
        <w:t>IOT services are featured with massive connections such as industry factory and shared bikes.</w:t>
      </w:r>
    </w:p>
    <w:p w14:paraId="75B4C1B6" w14:textId="6ECC53CB" w:rsidR="00FD0151" w:rsidRDefault="00FD0151" w:rsidP="00FD0151">
      <w:pPr>
        <w:rPr>
          <w:lang w:eastAsia="zh-CN"/>
        </w:rPr>
      </w:pPr>
      <w:r>
        <w:rPr>
          <w:lang w:eastAsia="zh-CN"/>
        </w:rPr>
        <w:t xml:space="preserve">It is noted that a wide range KPIs (e.g. accuracy, latency, availability, supported speed) are proposed for vertical industry cases in TR 22.872, which are very stringent and it is very challenging to have techniques in R16 to meet all the requirements. In prioritizing the use cases to be studied in R16 NR positioning SI, it is suggested to take regulatory cases and eMBB use cases as the first priority. Vertical industry use case can be </w:t>
      </w:r>
      <w:r w:rsidR="00BC7397">
        <w:rPr>
          <w:lang w:eastAsia="zh-CN"/>
        </w:rPr>
        <w:t>considered as late drop</w:t>
      </w:r>
      <w:r>
        <w:rPr>
          <w:lang w:eastAsia="zh-CN"/>
        </w:rPr>
        <w:t>.</w:t>
      </w:r>
    </w:p>
    <w:p w14:paraId="3C99E3E3" w14:textId="0C6F52D0" w:rsidR="004B33E1" w:rsidRPr="00BC7397" w:rsidRDefault="00FD0151" w:rsidP="00FD0151">
      <w:pPr>
        <w:rPr>
          <w:b/>
          <w:lang w:eastAsia="zh-CN"/>
        </w:rPr>
      </w:pPr>
      <w:r w:rsidRPr="00BC7397">
        <w:rPr>
          <w:b/>
          <w:lang w:eastAsia="zh-CN"/>
        </w:rPr>
        <w:t xml:space="preserve">Proposal 1: </w:t>
      </w:r>
      <w:r w:rsidR="00BC7397">
        <w:rPr>
          <w:b/>
          <w:lang w:eastAsia="zh-CN"/>
        </w:rPr>
        <w:t>RAN2 should consider</w:t>
      </w:r>
      <w:r w:rsidRPr="00BC7397">
        <w:rPr>
          <w:b/>
          <w:lang w:eastAsia="zh-CN"/>
        </w:rPr>
        <w:t xml:space="preserve"> </w:t>
      </w:r>
      <w:r w:rsidR="00BC7397">
        <w:rPr>
          <w:b/>
          <w:lang w:eastAsia="zh-CN"/>
        </w:rPr>
        <w:t xml:space="preserve">that </w:t>
      </w:r>
      <w:r w:rsidRPr="00BC7397">
        <w:rPr>
          <w:b/>
          <w:lang w:eastAsia="zh-CN"/>
        </w:rPr>
        <w:t xml:space="preserve">regulatory cases and commercial </w:t>
      </w:r>
      <w:r w:rsidR="00BC7397">
        <w:rPr>
          <w:b/>
          <w:lang w:eastAsia="zh-CN"/>
        </w:rPr>
        <w:t>eMBB cases have higher priority</w:t>
      </w:r>
      <w:r w:rsidRPr="00BC7397">
        <w:rPr>
          <w:b/>
          <w:lang w:eastAsia="zh-CN"/>
        </w:rPr>
        <w:t xml:space="preserve"> in R16.</w:t>
      </w:r>
    </w:p>
    <w:p w14:paraId="321676E9" w14:textId="3DC5FF88" w:rsidR="00BA1EE9" w:rsidRDefault="00BC7397" w:rsidP="004B33E1">
      <w:pPr>
        <w:rPr>
          <w:lang w:eastAsia="zh-CN"/>
        </w:rPr>
      </w:pPr>
      <w:r>
        <w:rPr>
          <w:rFonts w:hint="eastAsia"/>
          <w:lang w:eastAsia="zh-CN"/>
        </w:rPr>
        <w:t>Although vertical industry us</w:t>
      </w:r>
      <w:r>
        <w:rPr>
          <w:lang w:eastAsia="zh-CN"/>
        </w:rPr>
        <w:t>e cases are not the focus of R16 positioning, the architecture and protocol design should be open for vertical</w:t>
      </w:r>
      <w:r w:rsidR="000C5DA7">
        <w:rPr>
          <w:lang w:eastAsia="zh-CN"/>
        </w:rPr>
        <w:t xml:space="preserve"> industry use cases. A unified positioning architecture supporting high accuracy, ultra-reliability, low latency positioning will make it easier to include vertical industry use cases in the future release. Hence, it is proposed that the positioning architecture in R16 should be open to vertical industry cases.</w:t>
      </w:r>
    </w:p>
    <w:p w14:paraId="6B69361A" w14:textId="1DDA0EF4" w:rsidR="00B755A7" w:rsidRPr="008D01E7" w:rsidRDefault="000C5DA7" w:rsidP="00AA1EF7">
      <w:pPr>
        <w:rPr>
          <w:b/>
          <w:lang w:eastAsia="zh-CN"/>
        </w:rPr>
      </w:pPr>
      <w:r w:rsidRPr="000C5DA7">
        <w:rPr>
          <w:b/>
          <w:lang w:eastAsia="zh-CN"/>
        </w:rPr>
        <w:t>Proposal 2: the positioning architecture in R16 should be open to vertical industry cases.</w:t>
      </w:r>
      <w:r w:rsidR="00B1183A">
        <w:rPr>
          <w:b/>
          <w:lang w:val="en-US" w:eastAsia="zh-CN"/>
        </w:rPr>
        <w:t xml:space="preserve"> </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718B7EBA"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8D01E7">
        <w:rPr>
          <w:lang w:val="en-US" w:eastAsia="zh-CN"/>
        </w:rPr>
        <w:t>our consideration</w:t>
      </w:r>
      <w:r w:rsidR="009B0D2E" w:rsidRPr="009B0D2E">
        <w:rPr>
          <w:lang w:val="en-US" w:eastAsia="zh-CN"/>
        </w:rPr>
        <w:t xml:space="preserve"> </w:t>
      </w:r>
      <w:r w:rsidR="008D01E7">
        <w:t>on commercial use cases in NR positioning</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0327BF51" w14:textId="484D1C72" w:rsidR="009B0D2E" w:rsidRDefault="008D01E7" w:rsidP="009B0D2E">
      <w:pPr>
        <w:rPr>
          <w:b/>
          <w:lang w:eastAsia="zh-CN"/>
        </w:rPr>
      </w:pPr>
      <w:r w:rsidRPr="00BC7397">
        <w:rPr>
          <w:b/>
          <w:lang w:eastAsia="zh-CN"/>
        </w:rPr>
        <w:t xml:space="preserve">Proposal 1: </w:t>
      </w:r>
      <w:r>
        <w:rPr>
          <w:b/>
          <w:lang w:eastAsia="zh-CN"/>
        </w:rPr>
        <w:t>RAN2 should consider</w:t>
      </w:r>
      <w:r w:rsidRPr="00BC7397">
        <w:rPr>
          <w:b/>
          <w:lang w:eastAsia="zh-CN"/>
        </w:rPr>
        <w:t xml:space="preserve"> </w:t>
      </w:r>
      <w:r>
        <w:rPr>
          <w:b/>
          <w:lang w:eastAsia="zh-CN"/>
        </w:rPr>
        <w:t xml:space="preserve">that </w:t>
      </w:r>
      <w:r w:rsidRPr="00BC7397">
        <w:rPr>
          <w:b/>
          <w:lang w:eastAsia="zh-CN"/>
        </w:rPr>
        <w:t xml:space="preserve">regulatory cases and commercial </w:t>
      </w:r>
      <w:r>
        <w:rPr>
          <w:b/>
          <w:lang w:eastAsia="zh-CN"/>
        </w:rPr>
        <w:t>eMBB cases have higher priority</w:t>
      </w:r>
      <w:r w:rsidRPr="00BC7397">
        <w:rPr>
          <w:b/>
          <w:lang w:eastAsia="zh-CN"/>
        </w:rPr>
        <w:t xml:space="preserve"> in R16</w:t>
      </w:r>
      <w:r>
        <w:rPr>
          <w:b/>
          <w:lang w:eastAsia="zh-CN"/>
        </w:rPr>
        <w:t>.</w:t>
      </w:r>
    </w:p>
    <w:p w14:paraId="343D5FA8" w14:textId="318B6EBF" w:rsidR="008D01E7" w:rsidRPr="00773224" w:rsidRDefault="008D01E7" w:rsidP="009B0D2E">
      <w:pPr>
        <w:rPr>
          <w:b/>
          <w:lang w:eastAsia="zh-CN"/>
        </w:rPr>
      </w:pPr>
      <w:r w:rsidRPr="000C5DA7">
        <w:rPr>
          <w:b/>
          <w:lang w:eastAsia="zh-CN"/>
        </w:rPr>
        <w:t>Proposal 2: the positioning architecture in R16 should be open to vertical industry cases.</w:t>
      </w:r>
    </w:p>
    <w:p w14:paraId="08A0797F" w14:textId="77777777" w:rsidR="00CB7963" w:rsidRDefault="00866525" w:rsidP="00CB7963">
      <w:pPr>
        <w:pStyle w:val="1"/>
        <w:rPr>
          <w:lang w:eastAsia="zh-CN"/>
        </w:rPr>
      </w:pPr>
      <w:r>
        <w:rPr>
          <w:rFonts w:hint="eastAsia"/>
          <w:lang w:eastAsia="zh-CN"/>
        </w:rPr>
        <w:t>References</w:t>
      </w:r>
    </w:p>
    <w:p w14:paraId="5A98A9E1" w14:textId="60B22F5B" w:rsidR="00CB7963" w:rsidRDefault="00CB7963" w:rsidP="009B0D2E">
      <w:pPr>
        <w:rPr>
          <w:lang w:val="en-US" w:eastAsia="zh-CN"/>
        </w:rPr>
      </w:pPr>
      <w:r>
        <w:rPr>
          <w:lang w:eastAsia="zh-CN"/>
        </w:rPr>
        <w:t xml:space="preserve">[1] </w:t>
      </w:r>
      <w:r w:rsidR="009B0D2E" w:rsidRPr="009B0D2E">
        <w:rPr>
          <w:lang w:eastAsia="zh-CN"/>
        </w:rPr>
        <w:t>RP-181348</w:t>
      </w:r>
      <w:r w:rsidR="009B0D2E">
        <w:rPr>
          <w:lang w:eastAsia="zh-CN"/>
        </w:rPr>
        <w:t xml:space="preserve">, </w:t>
      </w:r>
      <w:r w:rsidR="009B0D2E" w:rsidRPr="009B0D2E">
        <w:rPr>
          <w:lang w:val="en-US" w:eastAsia="zh-CN"/>
        </w:rPr>
        <w:t>New SID: Study on NR positioning support</w:t>
      </w:r>
      <w:r w:rsidR="009B0D2E">
        <w:rPr>
          <w:lang w:val="en-US" w:eastAsia="zh-CN"/>
        </w:rPr>
        <w:t xml:space="preserve">, </w:t>
      </w:r>
      <w:r w:rsidR="009B0D2E" w:rsidRPr="009B0D2E">
        <w:rPr>
          <w:lang w:val="en-US" w:eastAsia="zh-CN"/>
        </w:rPr>
        <w:t>Intel Corporation</w:t>
      </w:r>
      <w:r w:rsidR="009B0D2E">
        <w:rPr>
          <w:lang w:val="en-US" w:eastAsia="zh-CN"/>
        </w:rPr>
        <w:t xml:space="preserve">, </w:t>
      </w:r>
      <w:r w:rsidR="009B0D2E" w:rsidRPr="009B0D2E">
        <w:rPr>
          <w:lang w:val="en-US" w:eastAsia="zh-CN"/>
        </w:rPr>
        <w:t>3GPP TSG RAN Meeting</w:t>
      </w:r>
      <w:r w:rsidR="009B0D2E">
        <w:rPr>
          <w:lang w:val="en-US" w:eastAsia="zh-CN"/>
        </w:rPr>
        <w:t xml:space="preserve">, </w:t>
      </w:r>
      <w:r w:rsidR="009B0D2E" w:rsidRPr="009B0D2E">
        <w:rPr>
          <w:lang w:val="en-US" w:eastAsia="zh-CN"/>
        </w:rPr>
        <w:t>La Jolla, USA, June 11 - 14, 2018</w:t>
      </w:r>
    </w:p>
    <w:p w14:paraId="6DFC4A78" w14:textId="3E80BB8E" w:rsidR="00525CD5" w:rsidRDefault="00525CD5" w:rsidP="00CB7963">
      <w:pPr>
        <w:ind w:left="300" w:hangingChars="150" w:hanging="300"/>
        <w:rPr>
          <w:lang w:eastAsia="zh-CN"/>
        </w:rPr>
      </w:pPr>
      <w:r>
        <w:rPr>
          <w:lang w:eastAsia="zh-CN"/>
        </w:rPr>
        <w:t xml:space="preserve"> </w:t>
      </w:r>
    </w:p>
    <w:p w14:paraId="28EAD41F" w14:textId="77777777" w:rsidR="00E16156" w:rsidRPr="00F47C6B" w:rsidRDefault="00E16156" w:rsidP="00E16156">
      <w:pPr>
        <w:rPr>
          <w:lang w:eastAsia="zh-CN"/>
        </w:rPr>
      </w:pPr>
    </w:p>
    <w:sectPr w:rsidR="00E16156" w:rsidRPr="00F47C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8C977" w14:textId="77777777" w:rsidR="008A04F7" w:rsidRDefault="008A04F7">
      <w:pPr>
        <w:spacing w:after="0"/>
      </w:pPr>
      <w:r>
        <w:separator/>
      </w:r>
    </w:p>
  </w:endnote>
  <w:endnote w:type="continuationSeparator" w:id="0">
    <w:p w14:paraId="7CE2B354" w14:textId="77777777" w:rsidR="008A04F7" w:rsidRDefault="008A04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1260E" w14:textId="77777777" w:rsidR="008A04F7" w:rsidRDefault="008A04F7">
      <w:pPr>
        <w:spacing w:after="0"/>
      </w:pPr>
      <w:r>
        <w:separator/>
      </w:r>
    </w:p>
  </w:footnote>
  <w:footnote w:type="continuationSeparator" w:id="0">
    <w:p w14:paraId="0FB36AC8" w14:textId="77777777" w:rsidR="008A04F7" w:rsidRDefault="008A04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5A1C7552"/>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582807"/>
    <w:multiLevelType w:val="hybridMultilevel"/>
    <w:tmpl w:val="316C4782"/>
    <w:lvl w:ilvl="0" w:tplc="E1A06236">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4"/>
  </w:num>
  <w:num w:numId="9">
    <w:abstractNumId w:val="15"/>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8"/>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8"/>
  </w:num>
  <w:num w:numId="19">
    <w:abstractNumId w:val="20"/>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3B70"/>
    <w:rsid w:val="00035740"/>
    <w:rsid w:val="00035A70"/>
    <w:rsid w:val="00057506"/>
    <w:rsid w:val="00062C81"/>
    <w:rsid w:val="00070A2C"/>
    <w:rsid w:val="0007380E"/>
    <w:rsid w:val="00097277"/>
    <w:rsid w:val="000A228B"/>
    <w:rsid w:val="000B45F5"/>
    <w:rsid w:val="000B55BA"/>
    <w:rsid w:val="000C5DA7"/>
    <w:rsid w:val="000C6C7A"/>
    <w:rsid w:val="000D4314"/>
    <w:rsid w:val="000D4602"/>
    <w:rsid w:val="000E2D10"/>
    <w:rsid w:val="000E369C"/>
    <w:rsid w:val="000F5C43"/>
    <w:rsid w:val="001036D0"/>
    <w:rsid w:val="00103AD0"/>
    <w:rsid w:val="00121709"/>
    <w:rsid w:val="00125851"/>
    <w:rsid w:val="00131E9B"/>
    <w:rsid w:val="00141503"/>
    <w:rsid w:val="00142078"/>
    <w:rsid w:val="00147254"/>
    <w:rsid w:val="001526DB"/>
    <w:rsid w:val="001569EF"/>
    <w:rsid w:val="00157A0C"/>
    <w:rsid w:val="00157B7E"/>
    <w:rsid w:val="00172730"/>
    <w:rsid w:val="00172ACB"/>
    <w:rsid w:val="00181168"/>
    <w:rsid w:val="001A4E52"/>
    <w:rsid w:val="001A59F8"/>
    <w:rsid w:val="001B3AD7"/>
    <w:rsid w:val="001B4DEC"/>
    <w:rsid w:val="001D31BA"/>
    <w:rsid w:val="001E5FF0"/>
    <w:rsid w:val="001F2026"/>
    <w:rsid w:val="00205835"/>
    <w:rsid w:val="00223C39"/>
    <w:rsid w:val="0022502A"/>
    <w:rsid w:val="00227115"/>
    <w:rsid w:val="002377EE"/>
    <w:rsid w:val="00240E1B"/>
    <w:rsid w:val="002506FF"/>
    <w:rsid w:val="00254D66"/>
    <w:rsid w:val="00261495"/>
    <w:rsid w:val="002667D7"/>
    <w:rsid w:val="0028489E"/>
    <w:rsid w:val="002859C4"/>
    <w:rsid w:val="00285EBB"/>
    <w:rsid w:val="002A3E99"/>
    <w:rsid w:val="002A555A"/>
    <w:rsid w:val="002A6042"/>
    <w:rsid w:val="002C658F"/>
    <w:rsid w:val="002C6C9C"/>
    <w:rsid w:val="002D10BD"/>
    <w:rsid w:val="002D1334"/>
    <w:rsid w:val="002D2571"/>
    <w:rsid w:val="002D6ABC"/>
    <w:rsid w:val="002D6C91"/>
    <w:rsid w:val="002F7095"/>
    <w:rsid w:val="00303CAE"/>
    <w:rsid w:val="003057E3"/>
    <w:rsid w:val="00305F27"/>
    <w:rsid w:val="00306227"/>
    <w:rsid w:val="003231F3"/>
    <w:rsid w:val="003234BE"/>
    <w:rsid w:val="00344445"/>
    <w:rsid w:val="003469BF"/>
    <w:rsid w:val="00354E70"/>
    <w:rsid w:val="00356AEC"/>
    <w:rsid w:val="0036170E"/>
    <w:rsid w:val="00376B98"/>
    <w:rsid w:val="00380117"/>
    <w:rsid w:val="00383136"/>
    <w:rsid w:val="00390673"/>
    <w:rsid w:val="00390952"/>
    <w:rsid w:val="003B3012"/>
    <w:rsid w:val="003B55A6"/>
    <w:rsid w:val="003E02EE"/>
    <w:rsid w:val="003E252C"/>
    <w:rsid w:val="003E3F80"/>
    <w:rsid w:val="003F1E34"/>
    <w:rsid w:val="003F36D3"/>
    <w:rsid w:val="003F4F8E"/>
    <w:rsid w:val="003F54C2"/>
    <w:rsid w:val="003F629A"/>
    <w:rsid w:val="003F7B4D"/>
    <w:rsid w:val="0040645B"/>
    <w:rsid w:val="00416574"/>
    <w:rsid w:val="00443C82"/>
    <w:rsid w:val="00446772"/>
    <w:rsid w:val="00455EC9"/>
    <w:rsid w:val="004706A0"/>
    <w:rsid w:val="00497BB3"/>
    <w:rsid w:val="004B0955"/>
    <w:rsid w:val="004B33E1"/>
    <w:rsid w:val="004C2615"/>
    <w:rsid w:val="004E0014"/>
    <w:rsid w:val="004F0207"/>
    <w:rsid w:val="00503128"/>
    <w:rsid w:val="00512DA2"/>
    <w:rsid w:val="00516B3F"/>
    <w:rsid w:val="00525CD5"/>
    <w:rsid w:val="00532759"/>
    <w:rsid w:val="00540CAB"/>
    <w:rsid w:val="00540E48"/>
    <w:rsid w:val="0055756D"/>
    <w:rsid w:val="00565AAE"/>
    <w:rsid w:val="00567147"/>
    <w:rsid w:val="0057135F"/>
    <w:rsid w:val="00572B5F"/>
    <w:rsid w:val="00574477"/>
    <w:rsid w:val="005856BC"/>
    <w:rsid w:val="00594C12"/>
    <w:rsid w:val="005978F4"/>
    <w:rsid w:val="005B0BC5"/>
    <w:rsid w:val="005B748F"/>
    <w:rsid w:val="005C200E"/>
    <w:rsid w:val="005E5181"/>
    <w:rsid w:val="00632C39"/>
    <w:rsid w:val="00634A09"/>
    <w:rsid w:val="00642666"/>
    <w:rsid w:val="0064755C"/>
    <w:rsid w:val="006528E5"/>
    <w:rsid w:val="0067313F"/>
    <w:rsid w:val="00676805"/>
    <w:rsid w:val="00676875"/>
    <w:rsid w:val="00685BC3"/>
    <w:rsid w:val="00686EFC"/>
    <w:rsid w:val="00687DF6"/>
    <w:rsid w:val="00693B1B"/>
    <w:rsid w:val="00694530"/>
    <w:rsid w:val="00694E54"/>
    <w:rsid w:val="006A0BAE"/>
    <w:rsid w:val="006A30A0"/>
    <w:rsid w:val="006B329C"/>
    <w:rsid w:val="006B5078"/>
    <w:rsid w:val="006B6DA3"/>
    <w:rsid w:val="006C14FE"/>
    <w:rsid w:val="006C4087"/>
    <w:rsid w:val="006D1561"/>
    <w:rsid w:val="006D6323"/>
    <w:rsid w:val="00707E37"/>
    <w:rsid w:val="00731403"/>
    <w:rsid w:val="00732183"/>
    <w:rsid w:val="007402B8"/>
    <w:rsid w:val="00741578"/>
    <w:rsid w:val="00742A7C"/>
    <w:rsid w:val="00747424"/>
    <w:rsid w:val="00753BA1"/>
    <w:rsid w:val="00754CFA"/>
    <w:rsid w:val="007602C0"/>
    <w:rsid w:val="00761A63"/>
    <w:rsid w:val="00761C1E"/>
    <w:rsid w:val="00762BC2"/>
    <w:rsid w:val="00764656"/>
    <w:rsid w:val="007652EB"/>
    <w:rsid w:val="00773224"/>
    <w:rsid w:val="00774450"/>
    <w:rsid w:val="007756A5"/>
    <w:rsid w:val="00777ADD"/>
    <w:rsid w:val="00786DB9"/>
    <w:rsid w:val="00797973"/>
    <w:rsid w:val="007A4B19"/>
    <w:rsid w:val="007B1A1D"/>
    <w:rsid w:val="007B4985"/>
    <w:rsid w:val="007B49BC"/>
    <w:rsid w:val="007D14E2"/>
    <w:rsid w:val="007E219D"/>
    <w:rsid w:val="007F721E"/>
    <w:rsid w:val="00802814"/>
    <w:rsid w:val="0080301D"/>
    <w:rsid w:val="00803A86"/>
    <w:rsid w:val="00804D38"/>
    <w:rsid w:val="00804E62"/>
    <w:rsid w:val="008159E6"/>
    <w:rsid w:val="00824F33"/>
    <w:rsid w:val="008403FA"/>
    <w:rsid w:val="00841130"/>
    <w:rsid w:val="008456E7"/>
    <w:rsid w:val="0084641C"/>
    <w:rsid w:val="0085229B"/>
    <w:rsid w:val="00866525"/>
    <w:rsid w:val="00867501"/>
    <w:rsid w:val="0087009F"/>
    <w:rsid w:val="00874490"/>
    <w:rsid w:val="008765A0"/>
    <w:rsid w:val="00880810"/>
    <w:rsid w:val="00893082"/>
    <w:rsid w:val="008A04F7"/>
    <w:rsid w:val="008A5018"/>
    <w:rsid w:val="008A6527"/>
    <w:rsid w:val="008B7443"/>
    <w:rsid w:val="008C0D0D"/>
    <w:rsid w:val="008C3B9C"/>
    <w:rsid w:val="008D01E7"/>
    <w:rsid w:val="008E39CB"/>
    <w:rsid w:val="008E7896"/>
    <w:rsid w:val="00900026"/>
    <w:rsid w:val="00906EC6"/>
    <w:rsid w:val="00915A64"/>
    <w:rsid w:val="0092156C"/>
    <w:rsid w:val="00922133"/>
    <w:rsid w:val="00926FF8"/>
    <w:rsid w:val="00945976"/>
    <w:rsid w:val="009508B4"/>
    <w:rsid w:val="00962B21"/>
    <w:rsid w:val="00964241"/>
    <w:rsid w:val="00964F0F"/>
    <w:rsid w:val="0099009B"/>
    <w:rsid w:val="009A44D3"/>
    <w:rsid w:val="009A6B38"/>
    <w:rsid w:val="009B0D2E"/>
    <w:rsid w:val="009D1869"/>
    <w:rsid w:val="009D4E5E"/>
    <w:rsid w:val="009F312F"/>
    <w:rsid w:val="00A01533"/>
    <w:rsid w:val="00A03008"/>
    <w:rsid w:val="00A0619E"/>
    <w:rsid w:val="00A06C53"/>
    <w:rsid w:val="00A07F6E"/>
    <w:rsid w:val="00A3051B"/>
    <w:rsid w:val="00A30C8F"/>
    <w:rsid w:val="00A31397"/>
    <w:rsid w:val="00A40E82"/>
    <w:rsid w:val="00A52D31"/>
    <w:rsid w:val="00A60190"/>
    <w:rsid w:val="00A60806"/>
    <w:rsid w:val="00A66248"/>
    <w:rsid w:val="00A74B4F"/>
    <w:rsid w:val="00A864A1"/>
    <w:rsid w:val="00A91631"/>
    <w:rsid w:val="00AA1EF7"/>
    <w:rsid w:val="00AB0264"/>
    <w:rsid w:val="00AC1B0E"/>
    <w:rsid w:val="00AD2078"/>
    <w:rsid w:val="00AD68BC"/>
    <w:rsid w:val="00AE047A"/>
    <w:rsid w:val="00AF1A65"/>
    <w:rsid w:val="00AF7A69"/>
    <w:rsid w:val="00B03AAC"/>
    <w:rsid w:val="00B067A7"/>
    <w:rsid w:val="00B0743F"/>
    <w:rsid w:val="00B1183A"/>
    <w:rsid w:val="00B15017"/>
    <w:rsid w:val="00B1713A"/>
    <w:rsid w:val="00B231CF"/>
    <w:rsid w:val="00B318FB"/>
    <w:rsid w:val="00B35C3B"/>
    <w:rsid w:val="00B42A1C"/>
    <w:rsid w:val="00B54B84"/>
    <w:rsid w:val="00B62A77"/>
    <w:rsid w:val="00B6668C"/>
    <w:rsid w:val="00B66C10"/>
    <w:rsid w:val="00B723D5"/>
    <w:rsid w:val="00B755A7"/>
    <w:rsid w:val="00B8340F"/>
    <w:rsid w:val="00B86198"/>
    <w:rsid w:val="00B921FF"/>
    <w:rsid w:val="00B9758B"/>
    <w:rsid w:val="00BA1EE9"/>
    <w:rsid w:val="00BC4651"/>
    <w:rsid w:val="00BC7397"/>
    <w:rsid w:val="00BD16CD"/>
    <w:rsid w:val="00BD4B28"/>
    <w:rsid w:val="00BE2D15"/>
    <w:rsid w:val="00BE74D2"/>
    <w:rsid w:val="00BF22DA"/>
    <w:rsid w:val="00BF68BB"/>
    <w:rsid w:val="00C12F42"/>
    <w:rsid w:val="00C14A68"/>
    <w:rsid w:val="00C21996"/>
    <w:rsid w:val="00C336D7"/>
    <w:rsid w:val="00C43360"/>
    <w:rsid w:val="00C51370"/>
    <w:rsid w:val="00C60EDB"/>
    <w:rsid w:val="00C727F0"/>
    <w:rsid w:val="00C85230"/>
    <w:rsid w:val="00C91D0B"/>
    <w:rsid w:val="00CA7467"/>
    <w:rsid w:val="00CB6215"/>
    <w:rsid w:val="00CB7963"/>
    <w:rsid w:val="00CC1B51"/>
    <w:rsid w:val="00CC487F"/>
    <w:rsid w:val="00CD23D5"/>
    <w:rsid w:val="00CD3129"/>
    <w:rsid w:val="00CD676D"/>
    <w:rsid w:val="00CE2FE6"/>
    <w:rsid w:val="00CE544F"/>
    <w:rsid w:val="00CE6BFB"/>
    <w:rsid w:val="00CF3F02"/>
    <w:rsid w:val="00CF553C"/>
    <w:rsid w:val="00D035AF"/>
    <w:rsid w:val="00D2558C"/>
    <w:rsid w:val="00D27698"/>
    <w:rsid w:val="00D34C0C"/>
    <w:rsid w:val="00D35290"/>
    <w:rsid w:val="00D36443"/>
    <w:rsid w:val="00D44771"/>
    <w:rsid w:val="00D50419"/>
    <w:rsid w:val="00D51650"/>
    <w:rsid w:val="00D60D8A"/>
    <w:rsid w:val="00D70263"/>
    <w:rsid w:val="00D75F6A"/>
    <w:rsid w:val="00D77ED6"/>
    <w:rsid w:val="00D94DFA"/>
    <w:rsid w:val="00D97855"/>
    <w:rsid w:val="00DA4EDB"/>
    <w:rsid w:val="00DC186F"/>
    <w:rsid w:val="00DC1ABE"/>
    <w:rsid w:val="00DC4070"/>
    <w:rsid w:val="00DD0C5A"/>
    <w:rsid w:val="00DD2B08"/>
    <w:rsid w:val="00DD4F01"/>
    <w:rsid w:val="00DF0F3E"/>
    <w:rsid w:val="00DF2A73"/>
    <w:rsid w:val="00DF44EC"/>
    <w:rsid w:val="00DF510E"/>
    <w:rsid w:val="00DF6B97"/>
    <w:rsid w:val="00E11B7A"/>
    <w:rsid w:val="00E125E7"/>
    <w:rsid w:val="00E16156"/>
    <w:rsid w:val="00E17F24"/>
    <w:rsid w:val="00E259E8"/>
    <w:rsid w:val="00E2690C"/>
    <w:rsid w:val="00E27BFC"/>
    <w:rsid w:val="00E340BF"/>
    <w:rsid w:val="00E44657"/>
    <w:rsid w:val="00E472C1"/>
    <w:rsid w:val="00E56456"/>
    <w:rsid w:val="00E611D9"/>
    <w:rsid w:val="00E64E18"/>
    <w:rsid w:val="00EA268A"/>
    <w:rsid w:val="00EA30F2"/>
    <w:rsid w:val="00EB4299"/>
    <w:rsid w:val="00EB765B"/>
    <w:rsid w:val="00EC6302"/>
    <w:rsid w:val="00EC7BD5"/>
    <w:rsid w:val="00EE4916"/>
    <w:rsid w:val="00EF0CC1"/>
    <w:rsid w:val="00F003A7"/>
    <w:rsid w:val="00F03D94"/>
    <w:rsid w:val="00F2037E"/>
    <w:rsid w:val="00F22293"/>
    <w:rsid w:val="00F248DA"/>
    <w:rsid w:val="00F27CA5"/>
    <w:rsid w:val="00F36EF3"/>
    <w:rsid w:val="00F45EFA"/>
    <w:rsid w:val="00F47C6B"/>
    <w:rsid w:val="00F47E82"/>
    <w:rsid w:val="00F5569A"/>
    <w:rsid w:val="00F65D69"/>
    <w:rsid w:val="00F70FEE"/>
    <w:rsid w:val="00F73E6B"/>
    <w:rsid w:val="00FA028C"/>
    <w:rsid w:val="00FA1C05"/>
    <w:rsid w:val="00FA260E"/>
    <w:rsid w:val="00FB6B31"/>
    <w:rsid w:val="00FC24A4"/>
    <w:rsid w:val="00FC7A9F"/>
    <w:rsid w:val="00FD0151"/>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uiPriority w:val="39"/>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aliases w:val="cap"/>
    <w:basedOn w:val="a1"/>
    <w:next w:val="a1"/>
    <w:link w:val="Char3"/>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4"/>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4">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semiHidden/>
    <w:unhideWhenUsed/>
    <w:rsid w:val="00BD4B28"/>
    <w:rPr>
      <w:sz w:val="21"/>
      <w:szCs w:val="21"/>
    </w:rPr>
  </w:style>
  <w:style w:type="paragraph" w:styleId="af">
    <w:name w:val="annotation text"/>
    <w:basedOn w:val="a1"/>
    <w:link w:val="Char5"/>
    <w:uiPriority w:val="99"/>
    <w:semiHidden/>
    <w:unhideWhenUsed/>
    <w:rsid w:val="00BD4B28"/>
  </w:style>
  <w:style w:type="character" w:customStyle="1" w:styleId="Char5">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6"/>
    <w:uiPriority w:val="99"/>
    <w:semiHidden/>
    <w:unhideWhenUsed/>
    <w:rsid w:val="00BD4B28"/>
    <w:rPr>
      <w:b/>
      <w:bCs/>
    </w:rPr>
  </w:style>
  <w:style w:type="character" w:customStyle="1" w:styleId="Char6">
    <w:name w:val="批注主题 Char"/>
    <w:basedOn w:val="Char5"/>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Char3">
    <w:name w:val="题注 Char"/>
    <w:aliases w:val="cap Char"/>
    <w:basedOn w:val="a2"/>
    <w:link w:val="ab"/>
    <w:rsid w:val="00FD0151"/>
    <w:rPr>
      <w:rFonts w:asciiTheme="majorHAnsi" w:eastAsia="黑体" w:hAnsiTheme="majorHAnsi" w:cstheme="majorBidi"/>
      <w:kern w:val="0"/>
      <w:sz w:val="20"/>
      <w:szCs w:val="20"/>
      <w:lang w:val="en-GB" w:eastAsia="en-US"/>
    </w:rPr>
  </w:style>
  <w:style w:type="character" w:customStyle="1" w:styleId="3GPPTextChar">
    <w:name w:val="3GPP Text Char"/>
    <w:link w:val="3GPPText"/>
    <w:locked/>
    <w:rsid w:val="00305F27"/>
    <w:rPr>
      <w:rFonts w:ascii="Times New Roman" w:hAnsi="Times New Roman" w:cs="Times New Roman"/>
      <w:sz w:val="22"/>
    </w:rPr>
  </w:style>
  <w:style w:type="paragraph" w:customStyle="1" w:styleId="3GPPText">
    <w:name w:val="3GPP Text"/>
    <w:basedOn w:val="a1"/>
    <w:link w:val="3GPPTextChar"/>
    <w:qFormat/>
    <w:rsid w:val="00305F27"/>
    <w:pPr>
      <w:overflowPunct w:val="0"/>
      <w:autoSpaceDE w:val="0"/>
      <w:autoSpaceDN w:val="0"/>
      <w:adjustRightInd w:val="0"/>
      <w:spacing w:before="120" w:after="120"/>
      <w:jc w:val="both"/>
    </w:pPr>
    <w:rPr>
      <w:rFonts w:eastAsiaTheme="minorEastAsia"/>
      <w:kern w:val="2"/>
      <w:sz w:val="22"/>
      <w:szCs w:val="22"/>
      <w:lang w:val="en-US" w:eastAsia="zh-CN"/>
    </w:rPr>
  </w:style>
  <w:style w:type="character" w:customStyle="1" w:styleId="3GPPAgreementsChar">
    <w:name w:val="3GPP Agreements Char"/>
    <w:link w:val="3GPPAgreements"/>
    <w:locked/>
    <w:rsid w:val="00305F27"/>
    <w:rPr>
      <w:rFonts w:ascii="Times New Roman" w:hAnsi="Times New Roman" w:cs="Times New Roman"/>
      <w:sz w:val="22"/>
    </w:rPr>
  </w:style>
  <w:style w:type="paragraph" w:customStyle="1" w:styleId="3GPPAgreements">
    <w:name w:val="3GPP Agreements"/>
    <w:basedOn w:val="a1"/>
    <w:link w:val="3GPPAgreementsChar"/>
    <w:qFormat/>
    <w:rsid w:val="00305F27"/>
    <w:pPr>
      <w:numPr>
        <w:numId w:val="27"/>
      </w:numPr>
      <w:overflowPunct w:val="0"/>
      <w:autoSpaceDE w:val="0"/>
      <w:autoSpaceDN w:val="0"/>
      <w:adjustRightInd w:val="0"/>
      <w:spacing w:before="60" w:after="60"/>
      <w:jc w:val="both"/>
    </w:pPr>
    <w:rPr>
      <w:rFonts w:eastAsiaTheme="minorEastAsia"/>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662647">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19743188">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218A6-2DF0-4B3D-BEF1-D16712281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6061</TotalTime>
  <Pages>2</Pages>
  <Words>848</Words>
  <Characters>4839</Characters>
  <Application>Microsoft Office Word</Application>
  <DocSecurity>0</DocSecurity>
  <Lines>40</Lines>
  <Paragraphs>11</Paragraphs>
  <ScaleCrop>false</ScaleCrop>
  <Company/>
  <LinksUpToDate>false</LinksUpToDate>
  <CharactersWithSpaces>5676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cp:lastModifiedBy>
  <cp:revision>111</cp:revision>
  <dcterms:created xsi:type="dcterms:W3CDTF">2018-05-17T07:04:00Z</dcterms:created>
  <dcterms:modified xsi:type="dcterms:W3CDTF">2018-11-01T11:45:00Z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(3)wOSe3G7NHA6G020Egn8rM16Cvh6GE4+4x5jDNXdUJdGSEma2JGg5qy3UDocQGUeZdDs7Xcfm
ZFfVc9E9W6NnrFz6l9hgKvAWBd1mTATcD6U6RBHmZvU7tH+aTaWZFGu6fCbCmntbtZq+7Q2u
AAVT0EOZduqP4jeNp2ELqYZe+a8GSTaM6wxGP97sVDPMtCo2dstJeN9toWl56OwDsKVR4bLE
MZeWi81gzjO2JCLYuT</vt:lpwstr>
  </property>
  <property fmtid="{D5CDD505-2E9C-101B-9397-08002B2CF9AE}" pid="3" name="_2015_ms_pID_7253431">
    <vt:lpwstr>J9UKLnhbdfqCapYYCmmNuNNSm4VjxRAc0xYs5cZE3bzS0OhZ6ZScnC
2tZAmUjuaqqnN7HDNCuJD9+v/rmsR7aef8M7LiVbhNAfmTx7lbWBfnOf6amjQktD1yz8LeAz
2P6SYGfrlZGT7Zhr4HoRjbplGrsJRO6pGRpTZnacoGOd6wUtjX8bD8extbOrXUL/pDDdsFsn
m/oJ9lZlpRJIrEYIyXo9vLcBGBPuYmwQVZkW</vt:lpwstr>
  </property>
  <property fmtid="{D5CDD505-2E9C-101B-9397-08002B2CF9AE}" pid="4" name="_2015_ms_pID_7253432">
    <vt:lpwstr>luIwTShMkzG9sJIjqgBklF8=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1533839586</vt:lpwstr>
  </property>
</Properties>
</file>